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FA652" w14:textId="77777777" w:rsidR="00A13AEB" w:rsidRDefault="00F00B1B">
      <w:pPr>
        <w:spacing w:line="360" w:lineRule="auto"/>
        <w:jc w:val="center"/>
        <w:rPr>
          <w:rFonts w:ascii="方正小标宋简体" w:eastAsia="方正小标宋简体" w:hAnsi="新宋体"/>
          <w:sz w:val="36"/>
          <w:szCs w:val="36"/>
        </w:rPr>
      </w:pPr>
      <w:r>
        <w:rPr>
          <w:rFonts w:ascii="方正小标宋简体" w:eastAsia="方正小标宋简体" w:hAnsi="新宋体" w:hint="eastAsia"/>
          <w:sz w:val="36"/>
          <w:szCs w:val="36"/>
        </w:rPr>
        <w:t>《量子力学》考试大纲</w:t>
      </w:r>
    </w:p>
    <w:p w14:paraId="205C6DCF" w14:textId="77777777" w:rsidR="00A13AEB" w:rsidRDefault="00A13AEB">
      <w:pPr>
        <w:pStyle w:val="1"/>
        <w:spacing w:line="360" w:lineRule="auto"/>
        <w:ind w:firstLineChars="0" w:firstLine="0"/>
        <w:rPr>
          <w:rFonts w:ascii="新宋体" w:eastAsia="新宋体" w:hAnsi="新宋体" w:cs="宋体"/>
          <w:sz w:val="24"/>
        </w:rPr>
      </w:pPr>
    </w:p>
    <w:p w14:paraId="14ED65C2" w14:textId="77777777" w:rsidR="00A13AEB" w:rsidRDefault="00F00B1B">
      <w:pPr>
        <w:pStyle w:val="1"/>
        <w:spacing w:line="360" w:lineRule="auto"/>
        <w:ind w:firstLineChars="0" w:firstLine="0"/>
        <w:rPr>
          <w:rFonts w:ascii="新宋体" w:eastAsia="新宋体" w:hAnsi="新宋体" w:cs="宋体"/>
          <w:sz w:val="24"/>
        </w:rPr>
      </w:pPr>
      <w:r>
        <w:rPr>
          <w:rFonts w:ascii="新宋体" w:eastAsia="新宋体" w:hAnsi="新宋体" w:cs="宋体" w:hint="eastAsia"/>
          <w:sz w:val="24"/>
        </w:rPr>
        <w:t>一、考查目标</w:t>
      </w:r>
    </w:p>
    <w:p w14:paraId="726588DB" w14:textId="4B29E086" w:rsidR="00A13AEB" w:rsidRDefault="00F00B1B">
      <w:pPr>
        <w:spacing w:line="360" w:lineRule="auto"/>
        <w:ind w:firstLineChars="200" w:firstLine="480"/>
        <w:rPr>
          <w:rFonts w:ascii="新宋体" w:eastAsia="新宋体" w:hAnsi="新宋体" w:cs="宋体"/>
          <w:sz w:val="24"/>
        </w:rPr>
      </w:pPr>
      <w:r>
        <w:rPr>
          <w:rFonts w:ascii="新宋体" w:eastAsia="新宋体" w:hAnsi="新宋体" w:hint="eastAsia"/>
          <w:sz w:val="24"/>
        </w:rPr>
        <w:t>系统考查考生在量子力学学科方面的基础知识和基本理论，以及运用相关理论和方法分析解决学术问题的基本能力。</w:t>
      </w:r>
    </w:p>
    <w:p w14:paraId="3C404167" w14:textId="77777777" w:rsidR="00A13AEB" w:rsidRDefault="00F00B1B">
      <w:pPr>
        <w:pStyle w:val="1"/>
        <w:spacing w:line="360" w:lineRule="auto"/>
        <w:ind w:firstLineChars="0" w:firstLine="0"/>
        <w:rPr>
          <w:rFonts w:ascii="新宋体" w:eastAsia="新宋体" w:hAnsi="新宋体" w:cs="宋体"/>
          <w:sz w:val="24"/>
        </w:rPr>
      </w:pPr>
      <w:r>
        <w:rPr>
          <w:rFonts w:ascii="新宋体" w:eastAsia="新宋体" w:hAnsi="新宋体" w:cs="宋体" w:hint="eastAsia"/>
          <w:sz w:val="24"/>
        </w:rPr>
        <w:t>二、考试形式与试卷结构</w:t>
      </w:r>
    </w:p>
    <w:p w14:paraId="0819F266" w14:textId="77777777" w:rsidR="00A13AEB" w:rsidRDefault="00F00B1B">
      <w:pPr>
        <w:pStyle w:val="1"/>
        <w:spacing w:line="360" w:lineRule="auto"/>
        <w:ind w:firstLineChars="0" w:firstLine="0"/>
        <w:rPr>
          <w:rFonts w:ascii="新宋体" w:eastAsia="新宋体" w:hAnsi="新宋体" w:cs="宋体"/>
          <w:sz w:val="24"/>
        </w:rPr>
      </w:pPr>
      <w:r>
        <w:rPr>
          <w:rFonts w:ascii="新宋体" w:eastAsia="新宋体" w:hAnsi="新宋体" w:cs="宋体" w:hint="eastAsia"/>
          <w:sz w:val="24"/>
        </w:rPr>
        <w:t>（一）试卷成绩及考试时间</w:t>
      </w:r>
    </w:p>
    <w:p w14:paraId="6674EEB2" w14:textId="77777777" w:rsidR="00A13AEB" w:rsidRDefault="00F00B1B">
      <w:pPr>
        <w:pStyle w:val="1"/>
        <w:spacing w:line="360" w:lineRule="auto"/>
        <w:ind w:firstLine="480"/>
        <w:rPr>
          <w:rFonts w:ascii="新宋体" w:eastAsia="新宋体" w:hAnsi="新宋体" w:cs="宋体"/>
          <w:sz w:val="24"/>
        </w:rPr>
      </w:pPr>
      <w:r>
        <w:rPr>
          <w:rFonts w:ascii="新宋体" w:eastAsia="新宋体" w:hAnsi="新宋体" w:cs="宋体" w:hint="eastAsia"/>
          <w:sz w:val="24"/>
        </w:rPr>
        <w:t>本试卷满分为</w:t>
      </w:r>
      <w:r>
        <w:rPr>
          <w:rFonts w:ascii="新宋体" w:eastAsia="新宋体" w:hAnsi="新宋体" w:cs="宋体"/>
          <w:sz w:val="24"/>
        </w:rPr>
        <w:t>150</w:t>
      </w:r>
      <w:r>
        <w:rPr>
          <w:rFonts w:ascii="新宋体" w:eastAsia="新宋体" w:hAnsi="新宋体" w:cs="宋体" w:hint="eastAsia"/>
          <w:sz w:val="24"/>
        </w:rPr>
        <w:t>分，考试时间为</w:t>
      </w:r>
      <w:r>
        <w:rPr>
          <w:rFonts w:ascii="新宋体" w:eastAsia="新宋体" w:hAnsi="新宋体" w:cs="宋体"/>
          <w:sz w:val="24"/>
        </w:rPr>
        <w:t>180</w:t>
      </w:r>
      <w:r>
        <w:rPr>
          <w:rFonts w:ascii="新宋体" w:eastAsia="新宋体" w:hAnsi="新宋体" w:cs="宋体" w:hint="eastAsia"/>
          <w:sz w:val="24"/>
        </w:rPr>
        <w:t>分钟。</w:t>
      </w:r>
    </w:p>
    <w:p w14:paraId="2EF612FC" w14:textId="77777777" w:rsidR="00A13AEB" w:rsidRDefault="00F00B1B">
      <w:pPr>
        <w:pStyle w:val="1"/>
        <w:spacing w:line="360" w:lineRule="auto"/>
        <w:ind w:firstLineChars="0" w:firstLine="0"/>
        <w:rPr>
          <w:rFonts w:ascii="新宋体" w:eastAsia="新宋体" w:hAnsi="新宋体" w:cs="宋体"/>
          <w:sz w:val="24"/>
        </w:rPr>
      </w:pPr>
      <w:r>
        <w:rPr>
          <w:rFonts w:ascii="新宋体" w:eastAsia="新宋体" w:hAnsi="新宋体" w:cs="宋体" w:hint="eastAsia"/>
          <w:sz w:val="24"/>
        </w:rPr>
        <w:t>（二）答题方式</w:t>
      </w:r>
    </w:p>
    <w:p w14:paraId="31430BBD"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答题方式为闭卷、笔试。</w:t>
      </w:r>
    </w:p>
    <w:p w14:paraId="7426225B" w14:textId="77777777" w:rsidR="00A13AEB" w:rsidRDefault="00F00B1B">
      <w:pPr>
        <w:pStyle w:val="1"/>
        <w:spacing w:line="360" w:lineRule="auto"/>
        <w:ind w:firstLineChars="0" w:firstLine="0"/>
        <w:rPr>
          <w:rFonts w:ascii="新宋体" w:eastAsia="新宋体" w:hAnsi="新宋体"/>
          <w:sz w:val="24"/>
        </w:rPr>
      </w:pPr>
      <w:r>
        <w:rPr>
          <w:rFonts w:ascii="新宋体" w:eastAsia="新宋体" w:hAnsi="新宋体" w:hint="eastAsia"/>
          <w:sz w:val="24"/>
        </w:rPr>
        <w:t>（三）试卷内容结构</w:t>
      </w:r>
      <w:r>
        <w:rPr>
          <w:rFonts w:ascii="新宋体" w:eastAsia="新宋体" w:hAnsi="新宋体"/>
          <w:sz w:val="24"/>
        </w:rPr>
        <w:t xml:space="preserve"> </w:t>
      </w:r>
    </w:p>
    <w:p w14:paraId="7600EEF2"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考试题为</w:t>
      </w:r>
      <w:r>
        <w:rPr>
          <w:rFonts w:ascii="新宋体" w:eastAsia="新宋体" w:hAnsi="新宋体"/>
          <w:sz w:val="24"/>
        </w:rPr>
        <w:t>150</w:t>
      </w:r>
      <w:r>
        <w:rPr>
          <w:rFonts w:ascii="新宋体" w:eastAsia="新宋体" w:hAnsi="新宋体" w:hint="eastAsia"/>
          <w:sz w:val="24"/>
        </w:rPr>
        <w:t>分，各部分内容所占分值为：</w:t>
      </w:r>
    </w:p>
    <w:p w14:paraId="1CDBBDB7"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波函数和</w:t>
      </w:r>
      <w:r>
        <w:rPr>
          <w:rFonts w:ascii="新宋体" w:eastAsia="新宋体" w:hAnsi="新宋体" w:hint="eastAsia"/>
          <w:sz w:val="24"/>
        </w:rPr>
        <w:t>Schrodinger</w:t>
      </w:r>
      <w:r>
        <w:rPr>
          <w:rFonts w:ascii="新宋体" w:eastAsia="新宋体" w:hAnsi="新宋体" w:hint="eastAsia"/>
          <w:sz w:val="24"/>
        </w:rPr>
        <w:t>方程</w:t>
      </w:r>
      <w:r>
        <w:rPr>
          <w:rFonts w:ascii="新宋体" w:eastAsia="新宋体" w:hAnsi="新宋体" w:hint="eastAsia"/>
          <w:sz w:val="24"/>
        </w:rPr>
        <w:t xml:space="preserve"> 15%-20%</w:t>
      </w:r>
    </w:p>
    <w:p w14:paraId="3509DC70"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一维势场中的粒子</w:t>
      </w:r>
      <w:r>
        <w:rPr>
          <w:rFonts w:ascii="新宋体" w:eastAsia="新宋体" w:hAnsi="新宋体" w:hint="eastAsia"/>
          <w:sz w:val="24"/>
        </w:rPr>
        <w:t xml:space="preserve"> 15%-20%</w:t>
      </w:r>
    </w:p>
    <w:p w14:paraId="565A8F0D"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力学量用算符表示</w:t>
      </w:r>
      <w:r>
        <w:rPr>
          <w:rFonts w:ascii="新宋体" w:eastAsia="新宋体" w:hAnsi="新宋体" w:hint="eastAsia"/>
          <w:sz w:val="24"/>
        </w:rPr>
        <w:t xml:space="preserve"> 20%-25%</w:t>
      </w:r>
    </w:p>
    <w:p w14:paraId="6B2EC1CF"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中心力场</w:t>
      </w:r>
      <w:r>
        <w:rPr>
          <w:rFonts w:ascii="新宋体" w:eastAsia="新宋体" w:hAnsi="新宋体" w:hint="eastAsia"/>
          <w:sz w:val="24"/>
        </w:rPr>
        <w:t xml:space="preserve"> 5%-10%</w:t>
      </w:r>
    </w:p>
    <w:p w14:paraId="7BCE051A"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量子力学的矩阵表示与表象变换</w:t>
      </w:r>
      <w:r>
        <w:rPr>
          <w:rFonts w:ascii="新宋体" w:eastAsia="新宋体" w:hAnsi="新宋体" w:hint="eastAsia"/>
          <w:sz w:val="24"/>
        </w:rPr>
        <w:t xml:space="preserve"> 20%-25%</w:t>
      </w:r>
    </w:p>
    <w:p w14:paraId="29A6ADA8"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自旋</w:t>
      </w:r>
      <w:r>
        <w:rPr>
          <w:rFonts w:ascii="新宋体" w:eastAsia="新宋体" w:hAnsi="新宋体" w:hint="eastAsia"/>
          <w:sz w:val="24"/>
        </w:rPr>
        <w:t xml:space="preserve"> 10%-15%</w:t>
      </w:r>
    </w:p>
    <w:p w14:paraId="7A60DF91"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定态问题的近似方法</w:t>
      </w:r>
      <w:r>
        <w:rPr>
          <w:rFonts w:ascii="新宋体" w:eastAsia="新宋体" w:hAnsi="新宋体" w:hint="eastAsia"/>
          <w:sz w:val="24"/>
        </w:rPr>
        <w:t xml:space="preserve"> 10%</w:t>
      </w:r>
    </w:p>
    <w:p w14:paraId="716DC033"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多体问题</w:t>
      </w:r>
      <w:r>
        <w:rPr>
          <w:rFonts w:ascii="新宋体" w:eastAsia="新宋体" w:hAnsi="新宋体" w:hint="eastAsia"/>
          <w:sz w:val="24"/>
        </w:rPr>
        <w:t xml:space="preserve"> 5%</w:t>
      </w:r>
    </w:p>
    <w:p w14:paraId="1A734E8E" w14:textId="77777777" w:rsidR="00A13AEB" w:rsidRDefault="00F00B1B">
      <w:pPr>
        <w:pStyle w:val="1"/>
        <w:spacing w:line="360" w:lineRule="auto"/>
        <w:ind w:firstLineChars="0" w:firstLine="0"/>
        <w:rPr>
          <w:rFonts w:ascii="新宋体" w:eastAsia="新宋体" w:hAnsi="新宋体"/>
          <w:sz w:val="24"/>
        </w:rPr>
      </w:pPr>
      <w:r>
        <w:rPr>
          <w:rFonts w:ascii="新宋体" w:eastAsia="新宋体" w:hAnsi="新宋体" w:hint="eastAsia"/>
          <w:sz w:val="24"/>
        </w:rPr>
        <w:t>（四）试卷题型结构</w:t>
      </w:r>
    </w:p>
    <w:p w14:paraId="549951F6"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题型包含简答、证明、分析计算题三种类型。</w:t>
      </w:r>
    </w:p>
    <w:p w14:paraId="18EA22EF" w14:textId="77777777" w:rsidR="00A13AEB" w:rsidRDefault="00F00B1B">
      <w:pPr>
        <w:pStyle w:val="1"/>
        <w:spacing w:line="360" w:lineRule="auto"/>
        <w:ind w:firstLineChars="0" w:firstLine="0"/>
        <w:rPr>
          <w:rFonts w:ascii="新宋体" w:eastAsia="新宋体" w:hAnsi="新宋体"/>
          <w:sz w:val="24"/>
        </w:rPr>
      </w:pPr>
      <w:r>
        <w:rPr>
          <w:rFonts w:ascii="新宋体" w:eastAsia="新宋体" w:hAnsi="新宋体" w:cs="宋体" w:hint="eastAsia"/>
          <w:sz w:val="24"/>
        </w:rPr>
        <w:t>三、</w:t>
      </w:r>
      <w:r>
        <w:rPr>
          <w:rFonts w:ascii="新宋体" w:eastAsia="新宋体" w:hAnsi="新宋体" w:hint="eastAsia"/>
          <w:sz w:val="24"/>
        </w:rPr>
        <w:t>考查范围</w:t>
      </w:r>
    </w:p>
    <w:p w14:paraId="694AF91F"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本科目考试的重点是要求熟练掌握</w:t>
      </w:r>
      <w:r>
        <w:rPr>
          <w:rFonts w:ascii="新宋体" w:eastAsia="新宋体" w:hAnsi="新宋体" w:hint="eastAsia"/>
          <w:sz w:val="24"/>
        </w:rPr>
        <w:t>Schrodinger</w:t>
      </w:r>
      <w:r>
        <w:rPr>
          <w:rFonts w:ascii="新宋体" w:eastAsia="新宋体" w:hAnsi="新宋体" w:hint="eastAsia"/>
          <w:sz w:val="24"/>
        </w:rPr>
        <w:t>方程的基本性质及一般求解方法，理解波函数的物理意义，熟悉其实际的应用。掌握解决量子力学问题的基本方法，包括力学量的算符表示、对易关系、守恒量表示、态和力学量表象、表象间的变换、电子自旋表示、全同性原理和泡利原理等，并具有综合运用所学知识分析问题和解决问题的能力。</w:t>
      </w:r>
    </w:p>
    <w:p w14:paraId="7C441358"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1</w:t>
      </w:r>
      <w:r>
        <w:rPr>
          <w:rFonts w:ascii="新宋体" w:eastAsia="新宋体" w:hAnsi="新宋体" w:hint="eastAsia"/>
          <w:sz w:val="24"/>
        </w:rPr>
        <w:t>、波函</w:t>
      </w:r>
      <w:r>
        <w:rPr>
          <w:rFonts w:ascii="新宋体" w:eastAsia="新宋体" w:hAnsi="新宋体" w:hint="eastAsia"/>
          <w:sz w:val="24"/>
        </w:rPr>
        <w:t>数和</w:t>
      </w:r>
      <w:r>
        <w:rPr>
          <w:rFonts w:ascii="新宋体" w:eastAsia="新宋体" w:hAnsi="新宋体" w:hint="eastAsia"/>
          <w:sz w:val="24"/>
        </w:rPr>
        <w:t>Schrodinger</w:t>
      </w:r>
      <w:r>
        <w:rPr>
          <w:rFonts w:ascii="新宋体" w:eastAsia="新宋体" w:hAnsi="新宋体" w:hint="eastAsia"/>
          <w:sz w:val="24"/>
        </w:rPr>
        <w:t>方程</w:t>
      </w:r>
      <w:r>
        <w:rPr>
          <w:rFonts w:ascii="新宋体" w:eastAsia="新宋体" w:hAnsi="新宋体" w:hint="eastAsia"/>
          <w:sz w:val="24"/>
        </w:rPr>
        <w:t xml:space="preserve"> </w:t>
      </w:r>
    </w:p>
    <w:p w14:paraId="5AA70530"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lastRenderedPageBreak/>
        <w:t>波粒二象性，量子现象的实验依据，量子力学的基本假设。波函数及其统计解释，</w:t>
      </w:r>
      <w:r>
        <w:rPr>
          <w:rFonts w:ascii="新宋体" w:eastAsia="新宋体" w:hAnsi="新宋体" w:hint="eastAsia"/>
          <w:sz w:val="24"/>
        </w:rPr>
        <w:t>Schrodinger</w:t>
      </w:r>
      <w:r>
        <w:rPr>
          <w:rFonts w:ascii="新宋体" w:eastAsia="新宋体" w:hAnsi="新宋体" w:hint="eastAsia"/>
          <w:sz w:val="24"/>
        </w:rPr>
        <w:t>方程，连续性方程，波包的演化，</w:t>
      </w:r>
      <w:r>
        <w:rPr>
          <w:rFonts w:ascii="新宋体" w:eastAsia="新宋体" w:hAnsi="新宋体" w:hint="eastAsia"/>
          <w:sz w:val="24"/>
        </w:rPr>
        <w:t>Schrodinger</w:t>
      </w:r>
      <w:r>
        <w:rPr>
          <w:rFonts w:ascii="新宋体" w:eastAsia="新宋体" w:hAnsi="新宋体" w:hint="eastAsia"/>
          <w:sz w:val="24"/>
        </w:rPr>
        <w:t>方程的定态解，态叠加原理。</w:t>
      </w:r>
    </w:p>
    <w:p w14:paraId="547EE3C5"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了解波粒二象性假设的物理意义及其主要实验事实；熟练掌握波函数的标准化条件：有限性、连续性和单值性。深入理解波函数的概率解释。理解态叠加原理以及任何波函数按不同动量的平面波展开的方法及其物理意义；熟练掌握</w:t>
      </w:r>
      <w:r>
        <w:rPr>
          <w:rFonts w:ascii="新宋体" w:eastAsia="新宋体" w:hAnsi="新宋体" w:hint="eastAsia"/>
          <w:sz w:val="24"/>
        </w:rPr>
        <w:t>Schrodinger</w:t>
      </w:r>
      <w:r>
        <w:rPr>
          <w:rFonts w:ascii="新宋体" w:eastAsia="新宋体" w:hAnsi="新宋体" w:hint="eastAsia"/>
          <w:sz w:val="24"/>
        </w:rPr>
        <w:t>方程的建立过程。深入了解定态</w:t>
      </w:r>
      <w:r>
        <w:rPr>
          <w:rFonts w:ascii="新宋体" w:eastAsia="新宋体" w:hAnsi="新宋体" w:hint="eastAsia"/>
          <w:sz w:val="24"/>
        </w:rPr>
        <w:t>Schrodinger</w:t>
      </w:r>
      <w:r>
        <w:rPr>
          <w:rFonts w:ascii="新宋体" w:eastAsia="新宋体" w:hAnsi="新宋体" w:hint="eastAsia"/>
          <w:sz w:val="24"/>
        </w:rPr>
        <w:t>方程，定态与非定态波函数的意义及相互关系。了解连续性方程的推导及其物理意义。</w:t>
      </w:r>
      <w:r>
        <w:rPr>
          <w:rFonts w:ascii="新宋体" w:eastAsia="新宋体" w:hAnsi="新宋体" w:hint="eastAsia"/>
          <w:sz w:val="24"/>
        </w:rPr>
        <w:t xml:space="preserve"> </w:t>
      </w:r>
    </w:p>
    <w:p w14:paraId="22F4D489"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2</w:t>
      </w:r>
      <w:r>
        <w:rPr>
          <w:rFonts w:ascii="新宋体" w:eastAsia="新宋体" w:hAnsi="新宋体" w:hint="eastAsia"/>
          <w:sz w:val="24"/>
        </w:rPr>
        <w:t>、一维势场中的粒子</w:t>
      </w:r>
      <w:r>
        <w:rPr>
          <w:rFonts w:ascii="新宋体" w:eastAsia="新宋体" w:hAnsi="新宋体" w:hint="eastAsia"/>
          <w:sz w:val="24"/>
        </w:rPr>
        <w:t xml:space="preserve"> </w:t>
      </w:r>
    </w:p>
    <w:p w14:paraId="258A48B0"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一维势场中粒子能量本征态的一般性质，一维方势阱的束缚态，方势垒的穿透，方势阱中的反射、透射与共振，δ函数和δ势阱中的束缚态，一维谐振子</w:t>
      </w:r>
      <w:r>
        <w:rPr>
          <w:rFonts w:ascii="新宋体" w:eastAsia="新宋体" w:hAnsi="新宋体" w:hint="eastAsia"/>
          <w:sz w:val="24"/>
        </w:rPr>
        <w:t>。</w:t>
      </w:r>
      <w:r>
        <w:rPr>
          <w:rFonts w:ascii="新宋体" w:eastAsia="新宋体" w:hAnsi="新宋体" w:hint="eastAsia"/>
          <w:sz w:val="24"/>
        </w:rPr>
        <w:t xml:space="preserve"> </w:t>
      </w:r>
    </w:p>
    <w:p w14:paraId="45135543"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熟练掌握一维</w:t>
      </w:r>
      <w:r>
        <w:rPr>
          <w:rFonts w:ascii="新宋体" w:eastAsia="新宋体" w:hAnsi="新宋体" w:hint="eastAsia"/>
          <w:sz w:val="24"/>
        </w:rPr>
        <w:t>Schrodinger</w:t>
      </w:r>
      <w:r>
        <w:rPr>
          <w:rFonts w:ascii="新宋体" w:eastAsia="新宋体" w:hAnsi="新宋体" w:hint="eastAsia"/>
          <w:sz w:val="24"/>
        </w:rPr>
        <w:t>方程边界条件的确定和处理方法；熟练掌握一维无限深方势阱的求解方法及其物理讨论，掌握一维有限深方势阱束缚态问题的求解方法；熟练掌握势垒贯穿的求解方法及隧道效应的解释；掌握一维有限深方势阱的反射、透射的处理方法及共振现象的发生；熟练掌握一维谐振子的能谱及其定态波函数的一般特点及其应用；了解δ函数势的处理方法。</w:t>
      </w:r>
      <w:r>
        <w:rPr>
          <w:rFonts w:ascii="新宋体" w:eastAsia="新宋体" w:hAnsi="新宋体" w:hint="eastAsia"/>
          <w:sz w:val="24"/>
        </w:rPr>
        <w:t xml:space="preserve"> </w:t>
      </w:r>
    </w:p>
    <w:p w14:paraId="11BAD691"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3</w:t>
      </w:r>
      <w:r>
        <w:rPr>
          <w:rFonts w:ascii="新宋体" w:eastAsia="新宋体" w:hAnsi="新宋体" w:hint="eastAsia"/>
          <w:sz w:val="24"/>
        </w:rPr>
        <w:t>、力学量用算符表示</w:t>
      </w:r>
      <w:r>
        <w:rPr>
          <w:rFonts w:ascii="新宋体" w:eastAsia="新宋体" w:hAnsi="新宋体" w:hint="eastAsia"/>
          <w:sz w:val="24"/>
        </w:rPr>
        <w:t xml:space="preserve"> </w:t>
      </w:r>
    </w:p>
    <w:p w14:paraId="47C62961"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坐标及坐标函数的平均值，动量算符及动量值的分布概率，算符的运算规则及其一般性质，厄米算符的本征值与本征函数，共同本征函数，不确定度关系，角动量算符。连续本征函数的归一化，力学量完全集。力学量平均值随时间的演化，量子力学的守恒量和对称性。</w:t>
      </w:r>
      <w:r>
        <w:rPr>
          <w:rFonts w:ascii="新宋体" w:eastAsia="新宋体" w:hAnsi="新宋体" w:hint="eastAsia"/>
          <w:sz w:val="24"/>
        </w:rPr>
        <w:t xml:space="preserve"> </w:t>
      </w:r>
    </w:p>
    <w:p w14:paraId="182E4AA1"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掌握算符的本征值和本征方程的基本概念；熟练掌握厄米算符的基本性质及相关的定理；熟练掌握坐标算符、动量算符以及角动量算符，包括定义式、相关的对易关系及本征值和本征函数。</w:t>
      </w:r>
      <w:r>
        <w:rPr>
          <w:rFonts w:ascii="新宋体" w:eastAsia="新宋体" w:hAnsi="新宋体" w:hint="eastAsia"/>
          <w:sz w:val="24"/>
        </w:rPr>
        <w:t xml:space="preserve"> </w:t>
      </w:r>
      <w:r>
        <w:rPr>
          <w:rFonts w:ascii="新宋体" w:eastAsia="新宋体" w:hAnsi="新宋体" w:hint="eastAsia"/>
          <w:sz w:val="24"/>
        </w:rPr>
        <w:t>熟练掌握力学量取值的概率及平均值的计算方法；理解两个力学量同时具有确定值的条件和共同本征函数；熟练掌握不</w:t>
      </w:r>
      <w:r>
        <w:rPr>
          <w:rFonts w:ascii="新宋体" w:eastAsia="新宋体" w:hAnsi="新宋体" w:hint="eastAsia"/>
          <w:sz w:val="24"/>
        </w:rPr>
        <w:t>确定度关系的形式、物理意义及其一些简单的应用；理解力学量平均值随时间变化的规律；掌握如何根据哈密顿算符来判断该体系的守恒量。</w:t>
      </w:r>
    </w:p>
    <w:p w14:paraId="42F1B48A"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4</w:t>
      </w:r>
      <w:r>
        <w:rPr>
          <w:rFonts w:ascii="新宋体" w:eastAsia="新宋体" w:hAnsi="新宋体" w:hint="eastAsia"/>
          <w:sz w:val="24"/>
        </w:rPr>
        <w:t>、中心力场</w:t>
      </w:r>
      <w:r>
        <w:rPr>
          <w:rFonts w:ascii="新宋体" w:eastAsia="新宋体" w:hAnsi="新宋体" w:hint="eastAsia"/>
          <w:sz w:val="24"/>
        </w:rPr>
        <w:t xml:space="preserve"> </w:t>
      </w:r>
    </w:p>
    <w:p w14:paraId="4DA7F8DC"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两体问题化为单体问题，球对称势和径向方程，自由粒子和球形方势阱，三</w:t>
      </w:r>
      <w:r>
        <w:rPr>
          <w:rFonts w:ascii="新宋体" w:eastAsia="新宋体" w:hAnsi="新宋体" w:hint="eastAsia"/>
          <w:sz w:val="24"/>
        </w:rPr>
        <w:lastRenderedPageBreak/>
        <w:t>维各向同性谐振子，氢原子及类氢离子。</w:t>
      </w:r>
    </w:p>
    <w:p w14:paraId="4002EAE3"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熟练掌握两体问题化为单体问题及分离变量法求解三维库仑势问题；熟练掌握氢原子和类氢离子的能谱及基态波函数以及相关的物理量的计算；了解三维无穷球方势阱及二维、三维各向同性谐振子的基本处理方法。</w:t>
      </w:r>
      <w:r>
        <w:rPr>
          <w:rFonts w:ascii="新宋体" w:eastAsia="新宋体" w:hAnsi="新宋体" w:hint="eastAsia"/>
          <w:sz w:val="24"/>
        </w:rPr>
        <w:t xml:space="preserve"> </w:t>
      </w:r>
    </w:p>
    <w:p w14:paraId="4AF9CD92"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5</w:t>
      </w:r>
      <w:r>
        <w:rPr>
          <w:rFonts w:ascii="新宋体" w:eastAsia="新宋体" w:hAnsi="新宋体" w:hint="eastAsia"/>
          <w:sz w:val="24"/>
        </w:rPr>
        <w:t>、量子力学的矩阵表示与表象变换</w:t>
      </w:r>
      <w:r>
        <w:rPr>
          <w:rFonts w:ascii="新宋体" w:eastAsia="新宋体" w:hAnsi="新宋体" w:hint="eastAsia"/>
          <w:sz w:val="24"/>
        </w:rPr>
        <w:t xml:space="preserve"> </w:t>
      </w:r>
    </w:p>
    <w:p w14:paraId="6C504256"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量子态和力学量算符的矩阵表示，表象变换</w:t>
      </w:r>
      <w:r>
        <w:rPr>
          <w:rFonts w:ascii="新宋体" w:eastAsia="新宋体" w:hAnsi="新宋体" w:hint="eastAsia"/>
          <w:sz w:val="24"/>
        </w:rPr>
        <w:t>，狄拉克符号。</w:t>
      </w:r>
      <w:r>
        <w:rPr>
          <w:rFonts w:ascii="新宋体" w:eastAsia="新宋体" w:hAnsi="新宋体" w:hint="eastAsia"/>
          <w:sz w:val="24"/>
        </w:rPr>
        <w:t xml:space="preserve"> </w:t>
      </w:r>
    </w:p>
    <w:p w14:paraId="5E0DD773"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理解力学量所对应的算符在具体表象的矩阵表示；了解表象之间幺正变换的意义和基本性质；掌握量子力学公式的矩阵形式及求解本征值、本征矢的矩阵方法；了解狄拉克符号的意义及基本应用。</w:t>
      </w:r>
    </w:p>
    <w:p w14:paraId="540F3A82"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6</w:t>
      </w:r>
      <w:r>
        <w:rPr>
          <w:rFonts w:ascii="新宋体" w:eastAsia="新宋体" w:hAnsi="新宋体" w:hint="eastAsia"/>
          <w:sz w:val="24"/>
        </w:rPr>
        <w:t>、自旋</w:t>
      </w:r>
      <w:r>
        <w:rPr>
          <w:rFonts w:ascii="新宋体" w:eastAsia="新宋体" w:hAnsi="新宋体" w:hint="eastAsia"/>
          <w:sz w:val="24"/>
        </w:rPr>
        <w:t xml:space="preserve"> </w:t>
      </w:r>
    </w:p>
    <w:p w14:paraId="67445DFF"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电子自旋态与自旋算符，总角动量的本征态，碱金属原子光谱的双线结构与反常塞曼效应，电磁场中的</w:t>
      </w:r>
      <w:r>
        <w:rPr>
          <w:rFonts w:ascii="新宋体" w:eastAsia="新宋体" w:hAnsi="新宋体" w:hint="eastAsia"/>
          <w:sz w:val="24"/>
        </w:rPr>
        <w:t>Schrodinger</w:t>
      </w:r>
      <w:r>
        <w:rPr>
          <w:rFonts w:ascii="新宋体" w:eastAsia="新宋体" w:hAnsi="新宋体" w:hint="eastAsia"/>
          <w:sz w:val="24"/>
        </w:rPr>
        <w:t>方程，自旋单态与三重态，光谱线的精细和超精细结构。</w:t>
      </w:r>
      <w:r>
        <w:rPr>
          <w:rFonts w:ascii="新宋体" w:eastAsia="新宋体" w:hAnsi="新宋体" w:hint="eastAsia"/>
          <w:sz w:val="24"/>
        </w:rPr>
        <w:t xml:space="preserve"> </w:t>
      </w:r>
    </w:p>
    <w:p w14:paraId="44D6F87F"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了解斯特恩—盖拉赫实验及其他自旋存在的实验证据，电子自旋回转磁比率与轨道回转磁比率；熟练掌握自旋算符的对易关系和自旋算符的矩阵形式</w:t>
      </w:r>
      <w:r>
        <w:rPr>
          <w:rFonts w:ascii="新宋体" w:eastAsia="新宋体" w:hAnsi="新宋体" w:hint="eastAsia"/>
          <w:sz w:val="24"/>
        </w:rPr>
        <w:t>(</w:t>
      </w:r>
      <w:r>
        <w:rPr>
          <w:rFonts w:ascii="新宋体" w:eastAsia="新宋体" w:hAnsi="新宋体" w:hint="eastAsia"/>
          <w:sz w:val="24"/>
        </w:rPr>
        <w:t>泡利矩阵</w:t>
      </w:r>
      <w:r>
        <w:rPr>
          <w:rFonts w:ascii="新宋体" w:eastAsia="新宋体" w:hAnsi="新宋体" w:hint="eastAsia"/>
          <w:sz w:val="24"/>
        </w:rPr>
        <w:t>)</w:t>
      </w:r>
      <w:r>
        <w:rPr>
          <w:rFonts w:ascii="新宋体" w:eastAsia="新宋体" w:hAnsi="新宋体" w:hint="eastAsia"/>
          <w:sz w:val="24"/>
        </w:rPr>
        <w:t>、与自旋相联系的测量值、概率和平均值等的计算以及其本征值方程和本征矢的求解方法；了解电磁场中的</w:t>
      </w:r>
      <w:r>
        <w:rPr>
          <w:rFonts w:ascii="新宋体" w:eastAsia="新宋体" w:hAnsi="新宋体" w:hint="eastAsia"/>
          <w:sz w:val="24"/>
        </w:rPr>
        <w:t>Schrodinger</w:t>
      </w:r>
      <w:r>
        <w:rPr>
          <w:rFonts w:ascii="新宋体" w:eastAsia="新宋体" w:hAnsi="新宋体" w:hint="eastAsia"/>
          <w:sz w:val="24"/>
        </w:rPr>
        <w:t>方程和简单塞曼效应的物理机制；掌握角动量耦合（自旋</w:t>
      </w:r>
      <w:r>
        <w:rPr>
          <w:rFonts w:ascii="新宋体" w:eastAsia="新宋体" w:hAnsi="新宋体" w:hint="eastAsia"/>
          <w:sz w:val="24"/>
        </w:rPr>
        <w:t>-</w:t>
      </w:r>
      <w:r>
        <w:rPr>
          <w:rFonts w:ascii="新宋体" w:eastAsia="新宋体" w:hAnsi="新宋体" w:hint="eastAsia"/>
          <w:sz w:val="24"/>
        </w:rPr>
        <w:t>轨道藕合）的概念、总角动量本征态的求解及碱金属原子光谱的精细和超精细结构；熟练掌握自旋单态与三重态求解方法及物理意义。</w:t>
      </w:r>
    </w:p>
    <w:p w14:paraId="0607F975"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7</w:t>
      </w:r>
      <w:r>
        <w:rPr>
          <w:rFonts w:ascii="新宋体" w:eastAsia="新宋体" w:hAnsi="新宋体" w:hint="eastAsia"/>
          <w:sz w:val="24"/>
        </w:rPr>
        <w:t>、定态问题的近似方法</w:t>
      </w:r>
      <w:r>
        <w:rPr>
          <w:rFonts w:ascii="新宋体" w:eastAsia="新宋体" w:hAnsi="新宋体" w:hint="eastAsia"/>
          <w:sz w:val="24"/>
        </w:rPr>
        <w:t xml:space="preserve"> </w:t>
      </w:r>
    </w:p>
    <w:p w14:paraId="7AF99E65"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非简并定态微扰论，变分法。</w:t>
      </w:r>
    </w:p>
    <w:p w14:paraId="553E7EED"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了解定态微扰论的适用范围和条件；掌握非简并定态微扰论中波函数一级修正和能级一级、二级修正的计算；掌握变分法的基本应用。</w:t>
      </w:r>
      <w:r>
        <w:rPr>
          <w:rFonts w:ascii="新宋体" w:eastAsia="新宋体" w:hAnsi="新宋体" w:hint="eastAsia"/>
          <w:sz w:val="24"/>
        </w:rPr>
        <w:t xml:space="preserve">  </w:t>
      </w:r>
    </w:p>
    <w:p w14:paraId="59983C36"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8</w:t>
      </w:r>
      <w:r>
        <w:rPr>
          <w:rFonts w:ascii="新宋体" w:eastAsia="新宋体" w:hAnsi="新宋体" w:hint="eastAsia"/>
          <w:sz w:val="24"/>
        </w:rPr>
        <w:t>、多体问题</w:t>
      </w:r>
      <w:r>
        <w:rPr>
          <w:rFonts w:ascii="新宋体" w:eastAsia="新宋体" w:hAnsi="新宋体" w:hint="eastAsia"/>
          <w:sz w:val="24"/>
        </w:rPr>
        <w:t xml:space="preserve"> </w:t>
      </w:r>
    </w:p>
    <w:p w14:paraId="404AD5F5" w14:textId="77777777" w:rsidR="00A13AEB" w:rsidRDefault="00F00B1B">
      <w:pPr>
        <w:pStyle w:val="1"/>
        <w:spacing w:line="360" w:lineRule="auto"/>
        <w:ind w:firstLine="480"/>
        <w:rPr>
          <w:rFonts w:ascii="新宋体" w:eastAsia="新宋体" w:hAnsi="新宋体"/>
          <w:sz w:val="24"/>
        </w:rPr>
      </w:pPr>
      <w:r>
        <w:rPr>
          <w:rFonts w:ascii="新宋体" w:eastAsia="新宋体" w:hAnsi="新宋体" w:hint="eastAsia"/>
          <w:sz w:val="24"/>
        </w:rPr>
        <w:t>了解量子力学全同性原理及其对于</w:t>
      </w:r>
      <w:r>
        <w:rPr>
          <w:rFonts w:ascii="新宋体" w:eastAsia="新宋体" w:hAnsi="新宋体" w:hint="eastAsia"/>
          <w:sz w:val="24"/>
        </w:rPr>
        <w:t>多体系统波函数的限制；费米子和波色子的基本性质和泡利原理。</w:t>
      </w:r>
    </w:p>
    <w:p w14:paraId="11FEF8E4" w14:textId="77777777" w:rsidR="00A13AEB" w:rsidRDefault="00A13AEB">
      <w:pPr>
        <w:pStyle w:val="a7"/>
        <w:spacing w:before="0" w:beforeAutospacing="0" w:after="0" w:afterAutospacing="0"/>
        <w:ind w:firstLineChars="200" w:firstLine="562"/>
        <w:rPr>
          <w:rStyle w:val="a8"/>
          <w:rFonts w:ascii="仿宋" w:eastAsia="仿宋" w:hAnsi="仿宋"/>
          <w:sz w:val="28"/>
          <w:szCs w:val="28"/>
        </w:rPr>
      </w:pPr>
    </w:p>
    <w:p w14:paraId="7D9EF0FB" w14:textId="77777777" w:rsidR="00A13AEB" w:rsidRDefault="00F00B1B">
      <w:pPr>
        <w:spacing w:line="360" w:lineRule="auto"/>
        <w:rPr>
          <w:rFonts w:ascii="新宋体" w:eastAsia="新宋体" w:hAnsi="新宋体"/>
          <w:sz w:val="24"/>
        </w:rPr>
      </w:pPr>
      <w:r>
        <w:rPr>
          <w:rFonts w:ascii="新宋体" w:eastAsia="新宋体" w:hAnsi="新宋体" w:hint="eastAsia"/>
          <w:sz w:val="24"/>
        </w:rPr>
        <w:t>参考书目：</w:t>
      </w:r>
    </w:p>
    <w:p w14:paraId="558FC930" w14:textId="77777777" w:rsidR="00A13AEB" w:rsidRDefault="00F00B1B">
      <w:pPr>
        <w:pStyle w:val="a7"/>
        <w:spacing w:before="0" w:beforeAutospacing="0" w:after="0" w:afterAutospacing="0"/>
        <w:ind w:leftChars="228" w:left="840" w:hangingChars="150" w:hanging="361"/>
        <w:rPr>
          <w:rStyle w:val="a8"/>
          <w:rFonts w:ascii="新宋体" w:eastAsia="新宋体" w:hAnsi="新宋体" w:cs="新宋体"/>
        </w:rPr>
      </w:pPr>
      <w:r>
        <w:rPr>
          <w:rStyle w:val="a8"/>
          <w:rFonts w:ascii="新宋体" w:eastAsia="新宋体" w:hAnsi="新宋体" w:cs="新宋体" w:hint="eastAsia"/>
        </w:rPr>
        <w:t>1</w:t>
      </w:r>
      <w:r>
        <w:rPr>
          <w:rStyle w:val="a8"/>
          <w:rFonts w:ascii="新宋体" w:eastAsia="新宋体" w:hAnsi="新宋体" w:cs="新宋体" w:hint="eastAsia"/>
        </w:rPr>
        <w:t>、</w:t>
      </w:r>
      <w:bookmarkStart w:id="0" w:name="itemlist-title"/>
      <w:r>
        <w:rPr>
          <w:rStyle w:val="a8"/>
          <w:rFonts w:ascii="新宋体" w:eastAsia="新宋体" w:hAnsi="新宋体" w:cs="新宋体" w:hint="eastAsia"/>
        </w:rPr>
        <w:t>曾谨言，《量子力学教程》（第三版）</w:t>
      </w:r>
      <w:bookmarkEnd w:id="0"/>
      <w:r>
        <w:rPr>
          <w:rStyle w:val="a8"/>
          <w:rFonts w:ascii="新宋体" w:eastAsia="新宋体" w:hAnsi="新宋体" w:cs="新宋体" w:hint="eastAsia"/>
        </w:rPr>
        <w:t>，科学出版社，</w:t>
      </w:r>
      <w:r>
        <w:rPr>
          <w:rStyle w:val="a8"/>
          <w:rFonts w:ascii="新宋体" w:eastAsia="新宋体" w:hAnsi="新宋体" w:cs="新宋体" w:hint="eastAsia"/>
        </w:rPr>
        <w:t>2014</w:t>
      </w:r>
      <w:r>
        <w:rPr>
          <w:rStyle w:val="a8"/>
          <w:rFonts w:ascii="新宋体" w:eastAsia="新宋体" w:hAnsi="新宋体" w:cs="新宋体" w:hint="eastAsia"/>
        </w:rPr>
        <w:t>年（</w:t>
      </w:r>
      <w:r>
        <w:rPr>
          <w:rFonts w:ascii="新宋体" w:eastAsia="新宋体" w:hAnsi="新宋体" w:cs="新宋体" w:hint="eastAsia"/>
          <w:kern w:val="2"/>
        </w:rPr>
        <w:t>“十二五”普通高等教育本科国家级规划教材</w:t>
      </w:r>
      <w:r>
        <w:rPr>
          <w:rStyle w:val="a8"/>
          <w:rFonts w:ascii="新宋体" w:eastAsia="新宋体" w:hAnsi="新宋体" w:cs="新宋体" w:hint="eastAsia"/>
        </w:rPr>
        <w:t>）</w:t>
      </w:r>
    </w:p>
    <w:p w14:paraId="082627F5" w14:textId="77777777" w:rsidR="00A13AEB" w:rsidRDefault="00F00B1B">
      <w:pPr>
        <w:pStyle w:val="a7"/>
        <w:spacing w:before="0" w:beforeAutospacing="0" w:after="0" w:afterAutospacing="0"/>
        <w:ind w:leftChars="228" w:left="840" w:hangingChars="150" w:hanging="361"/>
        <w:rPr>
          <w:rStyle w:val="a8"/>
          <w:rFonts w:ascii="新宋体" w:eastAsia="新宋体" w:hAnsi="新宋体" w:cs="新宋体"/>
        </w:rPr>
      </w:pPr>
      <w:r>
        <w:rPr>
          <w:rStyle w:val="a8"/>
          <w:rFonts w:ascii="新宋体" w:eastAsia="新宋体" w:hAnsi="新宋体" w:cs="新宋体" w:hint="eastAsia"/>
        </w:rPr>
        <w:lastRenderedPageBreak/>
        <w:t>2</w:t>
      </w:r>
      <w:r>
        <w:rPr>
          <w:rStyle w:val="a8"/>
          <w:rFonts w:ascii="新宋体" w:eastAsia="新宋体" w:hAnsi="新宋体" w:cs="新宋体" w:hint="eastAsia"/>
        </w:rPr>
        <w:t>、周世勋，《量子力学教程》（第二版），高等教育出版社，</w:t>
      </w:r>
      <w:r>
        <w:rPr>
          <w:rStyle w:val="a8"/>
          <w:rFonts w:ascii="新宋体" w:eastAsia="新宋体" w:hAnsi="新宋体" w:cs="新宋体" w:hint="eastAsia"/>
        </w:rPr>
        <w:t>2009</w:t>
      </w:r>
      <w:r>
        <w:rPr>
          <w:rStyle w:val="a8"/>
          <w:rFonts w:ascii="新宋体" w:eastAsia="新宋体" w:hAnsi="新宋体" w:cs="新宋体" w:hint="eastAsia"/>
        </w:rPr>
        <w:t>年（普通高等教育“十一五”国家级规划教材）</w:t>
      </w:r>
    </w:p>
    <w:p w14:paraId="3AD79C99" w14:textId="77777777" w:rsidR="00A13AEB" w:rsidRDefault="00F00B1B">
      <w:pPr>
        <w:pStyle w:val="a7"/>
        <w:spacing w:before="0" w:beforeAutospacing="0" w:after="0" w:afterAutospacing="0"/>
        <w:ind w:firstLineChars="200" w:firstLine="482"/>
        <w:rPr>
          <w:rStyle w:val="a8"/>
          <w:rFonts w:ascii="新宋体" w:eastAsia="新宋体" w:hAnsi="新宋体" w:cs="新宋体"/>
        </w:rPr>
      </w:pPr>
      <w:r>
        <w:rPr>
          <w:rStyle w:val="a8"/>
          <w:rFonts w:ascii="新宋体" w:eastAsia="新宋体" w:hAnsi="新宋体" w:cs="新宋体" w:hint="eastAsia"/>
        </w:rPr>
        <w:t>3</w:t>
      </w:r>
      <w:r>
        <w:rPr>
          <w:rStyle w:val="a8"/>
          <w:rFonts w:ascii="新宋体" w:eastAsia="新宋体" w:hAnsi="新宋体" w:cs="新宋体" w:hint="eastAsia"/>
        </w:rPr>
        <w:t>、曾谨言，《</w:t>
      </w:r>
      <w:hyperlink r:id="rId4" w:anchor="ddclick?act=click&amp;pos=23387300_0_1_q&amp;cat=&amp;key=%C1%BF%D7%D3%C1%A6%D1%A7+%D4%F8%BD%F7%D1%D4&amp;qinfo=38_1_60&amp;pinfo=&amp;minfo=&amp;ninfo=&amp;custid=&amp;permid=20140627180557462823556100598377340&amp;ref=http%3A%2F%2Fsearch.dangdang.com%2F%3Fkey%3D%25C1%25BF%25D7%25D3%25C1%25A6%" w:tgtFrame="_blank" w:tooltip=" 量子力学 卷Ⅰ （第五版）   " w:history="1">
        <w:r>
          <w:rPr>
            <w:rStyle w:val="a8"/>
            <w:rFonts w:ascii="新宋体" w:eastAsia="新宋体" w:hAnsi="新宋体" w:cs="新宋体" w:hint="eastAsia"/>
          </w:rPr>
          <w:t>量子力学（卷Ⅰ）》（第五版）</w:t>
        </w:r>
      </w:hyperlink>
      <w:r>
        <w:rPr>
          <w:rStyle w:val="a8"/>
          <w:rFonts w:ascii="新宋体" w:eastAsia="新宋体" w:hAnsi="新宋体" w:cs="新宋体" w:hint="eastAsia"/>
        </w:rPr>
        <w:t>，科学出版社，</w:t>
      </w:r>
      <w:r>
        <w:rPr>
          <w:rStyle w:val="a8"/>
          <w:rFonts w:ascii="新宋体" w:eastAsia="新宋体" w:hAnsi="新宋体" w:cs="新宋体" w:hint="eastAsia"/>
        </w:rPr>
        <w:t>2014</w:t>
      </w:r>
      <w:r>
        <w:rPr>
          <w:rStyle w:val="a8"/>
          <w:rFonts w:ascii="新宋体" w:eastAsia="新宋体" w:hAnsi="新宋体" w:cs="新宋体" w:hint="eastAsia"/>
        </w:rPr>
        <w:t>年</w:t>
      </w:r>
    </w:p>
    <w:p w14:paraId="7C9F7511" w14:textId="77777777" w:rsidR="00A13AEB" w:rsidRDefault="00A13AEB">
      <w:pPr>
        <w:spacing w:line="360" w:lineRule="auto"/>
        <w:jc w:val="center"/>
        <w:rPr>
          <w:rFonts w:ascii="方正兰亭黑_YS_GB18030" w:eastAsia="方正兰亭黑_YS_GB18030" w:hAnsi="新宋体"/>
          <w:sz w:val="30"/>
          <w:szCs w:val="30"/>
        </w:rPr>
      </w:pPr>
    </w:p>
    <w:p w14:paraId="0C5B0511" w14:textId="77777777" w:rsidR="00A13AEB" w:rsidRDefault="00A13AEB">
      <w:pPr>
        <w:spacing w:line="360" w:lineRule="auto"/>
        <w:jc w:val="center"/>
        <w:rPr>
          <w:b/>
          <w:bCs/>
          <w:sz w:val="32"/>
          <w:szCs w:val="32"/>
        </w:rPr>
      </w:pPr>
    </w:p>
    <w:p w14:paraId="1ADE0245" w14:textId="77777777" w:rsidR="00A13AEB" w:rsidRDefault="00A13AEB">
      <w:pPr>
        <w:spacing w:line="360" w:lineRule="auto"/>
        <w:jc w:val="center"/>
        <w:rPr>
          <w:b/>
          <w:bCs/>
          <w:sz w:val="32"/>
          <w:szCs w:val="32"/>
        </w:rPr>
      </w:pPr>
    </w:p>
    <w:p w14:paraId="5209C12B" w14:textId="77777777" w:rsidR="00A13AEB" w:rsidRDefault="00A13AEB">
      <w:pPr>
        <w:spacing w:line="360" w:lineRule="auto"/>
        <w:jc w:val="center"/>
        <w:rPr>
          <w:b/>
          <w:bCs/>
          <w:sz w:val="32"/>
          <w:szCs w:val="32"/>
        </w:rPr>
      </w:pPr>
    </w:p>
    <w:p w14:paraId="5B447FFC" w14:textId="77777777" w:rsidR="00A13AEB" w:rsidRDefault="00A13AEB">
      <w:pPr>
        <w:spacing w:line="360" w:lineRule="auto"/>
        <w:jc w:val="center"/>
        <w:rPr>
          <w:b/>
          <w:bCs/>
          <w:sz w:val="32"/>
          <w:szCs w:val="32"/>
        </w:rPr>
      </w:pPr>
    </w:p>
    <w:p w14:paraId="6DEEDFEE" w14:textId="77777777" w:rsidR="00A13AEB" w:rsidRDefault="00A13AEB">
      <w:pPr>
        <w:spacing w:line="360" w:lineRule="auto"/>
        <w:jc w:val="center"/>
        <w:rPr>
          <w:b/>
          <w:bCs/>
          <w:sz w:val="32"/>
          <w:szCs w:val="32"/>
        </w:rPr>
      </w:pPr>
    </w:p>
    <w:p w14:paraId="00119132" w14:textId="77777777" w:rsidR="00A13AEB" w:rsidRDefault="00A13AEB">
      <w:pPr>
        <w:spacing w:line="360" w:lineRule="auto"/>
        <w:jc w:val="center"/>
        <w:rPr>
          <w:b/>
          <w:bCs/>
          <w:sz w:val="32"/>
          <w:szCs w:val="32"/>
        </w:rPr>
      </w:pPr>
    </w:p>
    <w:p w14:paraId="3CFBD5A6" w14:textId="77777777" w:rsidR="00A13AEB" w:rsidRDefault="00A13AEB">
      <w:pPr>
        <w:spacing w:line="360" w:lineRule="auto"/>
        <w:jc w:val="center"/>
        <w:rPr>
          <w:b/>
          <w:bCs/>
          <w:sz w:val="32"/>
          <w:szCs w:val="32"/>
        </w:rPr>
      </w:pPr>
    </w:p>
    <w:p w14:paraId="24401AC6" w14:textId="77777777" w:rsidR="00A13AEB" w:rsidRDefault="00A13AEB">
      <w:pPr>
        <w:spacing w:line="360" w:lineRule="auto"/>
        <w:jc w:val="center"/>
        <w:rPr>
          <w:b/>
          <w:bCs/>
          <w:sz w:val="32"/>
          <w:szCs w:val="32"/>
        </w:rPr>
      </w:pPr>
    </w:p>
    <w:p w14:paraId="4A4FDA66" w14:textId="77777777" w:rsidR="00A13AEB" w:rsidRDefault="00A13AEB">
      <w:pPr>
        <w:spacing w:line="360" w:lineRule="auto"/>
        <w:jc w:val="center"/>
        <w:rPr>
          <w:b/>
          <w:bCs/>
          <w:sz w:val="32"/>
          <w:szCs w:val="32"/>
        </w:rPr>
      </w:pPr>
    </w:p>
    <w:p w14:paraId="747A44EE" w14:textId="77777777" w:rsidR="00A13AEB" w:rsidRDefault="00A13AEB">
      <w:pPr>
        <w:spacing w:line="360" w:lineRule="auto"/>
        <w:jc w:val="center"/>
        <w:rPr>
          <w:b/>
          <w:bCs/>
          <w:sz w:val="32"/>
          <w:szCs w:val="32"/>
        </w:rPr>
      </w:pPr>
    </w:p>
    <w:p w14:paraId="11B3626A" w14:textId="77777777" w:rsidR="00A13AEB" w:rsidRDefault="00A13AEB">
      <w:pPr>
        <w:spacing w:line="360" w:lineRule="auto"/>
        <w:jc w:val="center"/>
        <w:rPr>
          <w:b/>
          <w:bCs/>
          <w:sz w:val="32"/>
          <w:szCs w:val="32"/>
        </w:rPr>
      </w:pPr>
    </w:p>
    <w:p w14:paraId="29D32B0A" w14:textId="77777777" w:rsidR="00A13AEB" w:rsidRDefault="00A13AEB">
      <w:pPr>
        <w:spacing w:line="360" w:lineRule="auto"/>
        <w:jc w:val="center"/>
        <w:rPr>
          <w:b/>
          <w:bCs/>
          <w:sz w:val="32"/>
          <w:szCs w:val="32"/>
        </w:rPr>
      </w:pPr>
    </w:p>
    <w:p w14:paraId="2526F0C2" w14:textId="77777777" w:rsidR="00A13AEB" w:rsidRDefault="00A13AEB">
      <w:pPr>
        <w:spacing w:line="360" w:lineRule="auto"/>
        <w:jc w:val="center"/>
        <w:rPr>
          <w:b/>
          <w:bCs/>
          <w:sz w:val="32"/>
          <w:szCs w:val="32"/>
        </w:rPr>
      </w:pPr>
    </w:p>
    <w:p w14:paraId="61EEF8F3" w14:textId="77777777" w:rsidR="00A13AEB" w:rsidRDefault="00A13AEB">
      <w:pPr>
        <w:spacing w:line="360" w:lineRule="auto"/>
        <w:jc w:val="center"/>
        <w:rPr>
          <w:b/>
          <w:bCs/>
          <w:sz w:val="32"/>
          <w:szCs w:val="32"/>
        </w:rPr>
      </w:pPr>
    </w:p>
    <w:p w14:paraId="27D15E24" w14:textId="77777777" w:rsidR="00A13AEB" w:rsidRDefault="00A13AEB">
      <w:pPr>
        <w:spacing w:line="360" w:lineRule="auto"/>
        <w:jc w:val="center"/>
        <w:rPr>
          <w:b/>
          <w:bCs/>
          <w:sz w:val="32"/>
          <w:szCs w:val="32"/>
        </w:rPr>
      </w:pPr>
    </w:p>
    <w:p w14:paraId="26155915" w14:textId="77777777" w:rsidR="00A13AEB" w:rsidRDefault="00A13AEB">
      <w:pPr>
        <w:spacing w:line="360" w:lineRule="auto"/>
        <w:jc w:val="center"/>
        <w:rPr>
          <w:b/>
          <w:bCs/>
          <w:sz w:val="32"/>
          <w:szCs w:val="32"/>
        </w:rPr>
      </w:pPr>
    </w:p>
    <w:p w14:paraId="1C07317B" w14:textId="77777777" w:rsidR="00A13AEB" w:rsidRDefault="00A13AEB">
      <w:pPr>
        <w:spacing w:line="360" w:lineRule="auto"/>
        <w:jc w:val="center"/>
        <w:rPr>
          <w:b/>
          <w:bCs/>
          <w:sz w:val="32"/>
          <w:szCs w:val="32"/>
        </w:rPr>
      </w:pPr>
    </w:p>
    <w:p w14:paraId="5B01EDA9" w14:textId="77777777" w:rsidR="00A13AEB" w:rsidRDefault="00A13AEB">
      <w:pPr>
        <w:spacing w:line="360" w:lineRule="auto"/>
        <w:jc w:val="center"/>
        <w:rPr>
          <w:b/>
          <w:bCs/>
          <w:sz w:val="32"/>
          <w:szCs w:val="32"/>
        </w:rPr>
      </w:pPr>
    </w:p>
    <w:p w14:paraId="74074C26" w14:textId="77777777" w:rsidR="00A13AEB" w:rsidRDefault="00A13AEB">
      <w:pPr>
        <w:spacing w:line="360" w:lineRule="auto"/>
        <w:jc w:val="center"/>
        <w:rPr>
          <w:b/>
          <w:bCs/>
          <w:sz w:val="32"/>
          <w:szCs w:val="32"/>
        </w:rPr>
      </w:pPr>
    </w:p>
    <w:p w14:paraId="57015340" w14:textId="77777777" w:rsidR="00A13AEB" w:rsidRDefault="00A13AEB"/>
    <w:sectPr w:rsidR="00A13A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兰亭黑_YS_GB18030">
    <w:altName w:val="黑体"/>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NmNjM2ZTc1Y2EzMzRlMTE5MDQwMGFlMmFlODQ3OTQifQ=="/>
  </w:docVars>
  <w:rsids>
    <w:rsidRoot w:val="00210BB7"/>
    <w:rsid w:val="001709C2"/>
    <w:rsid w:val="00210BB7"/>
    <w:rsid w:val="002467CC"/>
    <w:rsid w:val="003569B8"/>
    <w:rsid w:val="004B531C"/>
    <w:rsid w:val="00536716"/>
    <w:rsid w:val="005460FE"/>
    <w:rsid w:val="00572841"/>
    <w:rsid w:val="005F01D0"/>
    <w:rsid w:val="006744A3"/>
    <w:rsid w:val="00964B61"/>
    <w:rsid w:val="00A13AEB"/>
    <w:rsid w:val="00AF21BB"/>
    <w:rsid w:val="00D119E1"/>
    <w:rsid w:val="00D55CE3"/>
    <w:rsid w:val="00E72405"/>
    <w:rsid w:val="00F00B1B"/>
    <w:rsid w:val="00FF21E5"/>
    <w:rsid w:val="28820D81"/>
    <w:rsid w:val="53AB5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41AAA"/>
  <w15:docId w15:val="{3FCE9197-8775-464C-A369-5A9158A1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mbria" w:eastAsia="宋体" w:hAnsi="Cambria" w:cs="Cambria"/>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hAnsi="宋体" w:cs="宋体"/>
      <w:kern w:val="0"/>
      <w:sz w:val="24"/>
    </w:rPr>
  </w:style>
  <w:style w:type="character" w:styleId="a8">
    <w:name w:val="Strong"/>
    <w:qFormat/>
    <w:rPr>
      <w:b/>
      <w:bCs/>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customStyle="1" w:styleId="1">
    <w:name w:val="列出段落1"/>
    <w:basedOn w:val="a"/>
    <w:pPr>
      <w:ind w:firstLineChars="200" w:firstLine="42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roduct.dangdang.com/23387300.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391</Words>
  <Characters>2233</Characters>
  <Application>Microsoft Office Word</Application>
  <DocSecurity>0</DocSecurity>
  <Lines>18</Lines>
  <Paragraphs>5</Paragraphs>
  <ScaleCrop>false</ScaleCrop>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佟荟全</cp:lastModifiedBy>
  <cp:revision>11</cp:revision>
  <dcterms:created xsi:type="dcterms:W3CDTF">2019-09-16T06:42:00Z</dcterms:created>
  <dcterms:modified xsi:type="dcterms:W3CDTF">2024-09-24T03:04:00Z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46CE70B66ECD430D8D9B19E12E913D59_12</vt:lpwstr>
  </property>
</Properties>
</file>